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D3" w:rsidRDefault="0021017F" w:rsidP="006C12AC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5C47BE">
        <w:rPr>
          <w:rFonts w:ascii="Times New Roman" w:hAnsi="Times New Roman"/>
          <w:b/>
          <w:sz w:val="26"/>
          <w:szCs w:val="26"/>
        </w:rPr>
        <w:t>Место рождения и миграция населения</w:t>
      </w:r>
      <w:r w:rsidR="00641FD3" w:rsidRPr="00641FD3">
        <w:rPr>
          <w:rFonts w:ascii="Times New Roman" w:hAnsi="Times New Roman"/>
          <w:b/>
          <w:sz w:val="26"/>
          <w:szCs w:val="26"/>
        </w:rPr>
        <w:t xml:space="preserve"> </w:t>
      </w:r>
    </w:p>
    <w:p w:rsidR="006C12AC" w:rsidRPr="00641FD3" w:rsidRDefault="00641FD3" w:rsidP="006C12AC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по данным Всероссийской переписи населения 2010 года</w:t>
      </w:r>
    </w:p>
    <w:p w:rsidR="004E3FD4" w:rsidRDefault="004E3FD4" w:rsidP="00C6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FF2" w:rsidRPr="00DB0EE0" w:rsidRDefault="00196377" w:rsidP="009B3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 xml:space="preserve">Представление о подвижности жителей Пермского края дают </w:t>
      </w:r>
      <w:r w:rsidR="00332077" w:rsidRPr="00DB0EE0">
        <w:rPr>
          <w:rFonts w:ascii="Times New Roman" w:hAnsi="Times New Roman"/>
          <w:sz w:val="24"/>
          <w:szCs w:val="24"/>
        </w:rPr>
        <w:t>ответы на вопрос</w:t>
      </w:r>
      <w:r w:rsidR="00332077" w:rsidRPr="00DB0EE0">
        <w:rPr>
          <w:rFonts w:ascii="Times New Roman" w:hAnsi="Times New Roman"/>
          <w:b/>
          <w:sz w:val="24"/>
          <w:szCs w:val="24"/>
        </w:rPr>
        <w:t xml:space="preserve"> о месте рождения, </w:t>
      </w:r>
      <w:r w:rsidR="00332077" w:rsidRPr="00DB0EE0">
        <w:rPr>
          <w:rFonts w:ascii="Times New Roman" w:hAnsi="Times New Roman"/>
          <w:sz w:val="24"/>
          <w:szCs w:val="24"/>
        </w:rPr>
        <w:t>который при Всероссийской переписи населения 2010 года задавался всему населению (включая членов коллективных домохоз</w:t>
      </w:r>
      <w:r w:rsidRPr="00DB0EE0">
        <w:rPr>
          <w:rFonts w:ascii="Times New Roman" w:hAnsi="Times New Roman"/>
          <w:sz w:val="24"/>
          <w:szCs w:val="24"/>
        </w:rPr>
        <w:t xml:space="preserve">яйств и домохозяйств бездомных). Данные получены от </w:t>
      </w:r>
      <w:r w:rsidR="007E11D7">
        <w:rPr>
          <w:rFonts w:ascii="Times New Roman" w:hAnsi="Times New Roman"/>
          <w:sz w:val="24"/>
          <w:szCs w:val="24"/>
        </w:rPr>
        <w:t>2590,8</w:t>
      </w:r>
      <w:r w:rsidR="002F7D52" w:rsidRPr="00DB0EE0">
        <w:rPr>
          <w:rFonts w:ascii="Times New Roman" w:hAnsi="Times New Roman"/>
          <w:sz w:val="24"/>
          <w:szCs w:val="24"/>
        </w:rPr>
        <w:t xml:space="preserve"> тыс. человек, проживающих в частных домохозяйствах, т.е. в </w:t>
      </w:r>
      <w:r w:rsidR="00F3724F" w:rsidRPr="00DB0EE0">
        <w:rPr>
          <w:rFonts w:ascii="Times New Roman" w:hAnsi="Times New Roman"/>
          <w:sz w:val="24"/>
          <w:szCs w:val="24"/>
        </w:rPr>
        <w:t>индивидуальных домах, отдельных и коммунальных квартирах, общежитиях, гостиницах, традиционных жилищах и других помещениях, приспособленных для жилья</w:t>
      </w:r>
      <w:r w:rsidR="00D85048" w:rsidRPr="00DB0EE0">
        <w:rPr>
          <w:rFonts w:ascii="Times New Roman" w:hAnsi="Times New Roman"/>
          <w:sz w:val="24"/>
          <w:szCs w:val="24"/>
        </w:rPr>
        <w:t>.</w:t>
      </w:r>
    </w:p>
    <w:p w:rsidR="005C7E95" w:rsidRDefault="007E2EBE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 xml:space="preserve">По полученным данным </w:t>
      </w:r>
      <w:r w:rsidR="00332077" w:rsidRPr="00DB0EE0">
        <w:rPr>
          <w:rFonts w:ascii="Times New Roman" w:hAnsi="Times New Roman"/>
          <w:sz w:val="24"/>
          <w:szCs w:val="24"/>
        </w:rPr>
        <w:t xml:space="preserve"> лишь 44</w:t>
      </w:r>
      <w:r w:rsidR="007E11D7">
        <w:rPr>
          <w:rFonts w:ascii="Times New Roman" w:hAnsi="Times New Roman"/>
          <w:sz w:val="24"/>
          <w:szCs w:val="24"/>
        </w:rPr>
        <w:t>,1</w:t>
      </w:r>
      <w:r w:rsidR="00332077" w:rsidRPr="00DB0EE0">
        <w:rPr>
          <w:rFonts w:ascii="Times New Roman" w:hAnsi="Times New Roman"/>
          <w:sz w:val="24"/>
          <w:szCs w:val="24"/>
        </w:rPr>
        <w:t>% пермяков</w:t>
      </w:r>
      <w:r w:rsidR="005C7E95" w:rsidRPr="00DB0EE0">
        <w:rPr>
          <w:rFonts w:ascii="Times New Roman" w:hAnsi="Times New Roman"/>
          <w:sz w:val="24"/>
          <w:szCs w:val="24"/>
        </w:rPr>
        <w:t xml:space="preserve"> с момента рождения продолжают жить в том же городе, пос</w:t>
      </w:r>
      <w:r w:rsidR="007D103F" w:rsidRPr="00DB0EE0">
        <w:rPr>
          <w:rFonts w:ascii="Times New Roman" w:hAnsi="Times New Roman"/>
          <w:sz w:val="24"/>
          <w:szCs w:val="24"/>
        </w:rPr>
        <w:t>е</w:t>
      </w:r>
      <w:r w:rsidR="005C7E95" w:rsidRPr="00DB0EE0">
        <w:rPr>
          <w:rFonts w:ascii="Times New Roman" w:hAnsi="Times New Roman"/>
          <w:sz w:val="24"/>
          <w:szCs w:val="24"/>
        </w:rPr>
        <w:t>лке, деревне, не покидая свой насел</w:t>
      </w:r>
      <w:r w:rsidR="007D103F" w:rsidRPr="00DB0EE0">
        <w:rPr>
          <w:rFonts w:ascii="Times New Roman" w:hAnsi="Times New Roman"/>
          <w:sz w:val="24"/>
          <w:szCs w:val="24"/>
        </w:rPr>
        <w:t>е</w:t>
      </w:r>
      <w:r w:rsidR="005C7E95" w:rsidRPr="00DB0EE0">
        <w:rPr>
          <w:rFonts w:ascii="Times New Roman" w:hAnsi="Times New Roman"/>
          <w:sz w:val="24"/>
          <w:szCs w:val="24"/>
        </w:rPr>
        <w:t>нный пункт (при этом не исключается переезд на соседнюю улицу или в другой микрорайон).</w:t>
      </w:r>
      <w:r w:rsidR="00EF109E" w:rsidRPr="00DB0EE0">
        <w:rPr>
          <w:rFonts w:ascii="Times New Roman" w:hAnsi="Times New Roman"/>
          <w:sz w:val="24"/>
          <w:szCs w:val="24"/>
        </w:rPr>
        <w:t xml:space="preserve"> Большая часть наших земляков </w:t>
      </w:r>
      <w:r w:rsidR="00404FF2" w:rsidRPr="00DB0EE0">
        <w:rPr>
          <w:rFonts w:ascii="Times New Roman" w:hAnsi="Times New Roman"/>
          <w:sz w:val="24"/>
          <w:szCs w:val="24"/>
        </w:rPr>
        <w:t>– 5</w:t>
      </w:r>
      <w:r w:rsidR="00332077" w:rsidRPr="00DB0EE0">
        <w:rPr>
          <w:rFonts w:ascii="Times New Roman" w:hAnsi="Times New Roman"/>
          <w:sz w:val="24"/>
          <w:szCs w:val="24"/>
        </w:rPr>
        <w:t>1</w:t>
      </w:r>
      <w:r w:rsidR="007E11D7">
        <w:rPr>
          <w:rFonts w:ascii="Times New Roman" w:hAnsi="Times New Roman"/>
          <w:sz w:val="24"/>
          <w:szCs w:val="24"/>
        </w:rPr>
        <w:t>,3</w:t>
      </w:r>
      <w:r w:rsidR="00EF109E" w:rsidRPr="00DB0EE0">
        <w:rPr>
          <w:rFonts w:ascii="Times New Roman" w:hAnsi="Times New Roman"/>
          <w:sz w:val="24"/>
          <w:szCs w:val="24"/>
        </w:rPr>
        <w:t xml:space="preserve">% переехали в </w:t>
      </w:r>
      <w:r w:rsidR="00404FF2" w:rsidRPr="00DB0EE0">
        <w:rPr>
          <w:rFonts w:ascii="Times New Roman" w:hAnsi="Times New Roman"/>
          <w:sz w:val="24"/>
          <w:szCs w:val="24"/>
        </w:rPr>
        <w:t xml:space="preserve">населенные пункты постоянного проживания </w:t>
      </w:r>
      <w:r w:rsidR="00EF109E" w:rsidRPr="00DB0EE0">
        <w:rPr>
          <w:rFonts w:ascii="Times New Roman" w:hAnsi="Times New Roman"/>
          <w:sz w:val="24"/>
          <w:szCs w:val="24"/>
        </w:rPr>
        <w:t>после рождения.</w:t>
      </w:r>
    </w:p>
    <w:p w:rsidR="007E11D7" w:rsidRDefault="007E11D7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6869FF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9FF">
        <w:rPr>
          <w:rFonts w:ascii="Times New Roman" w:hAnsi="Times New Roman"/>
          <w:b/>
          <w:sz w:val="24"/>
          <w:szCs w:val="24"/>
        </w:rPr>
        <w:t>Население частных домохозяйств по продолжительности проживания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</w:t>
      </w:r>
    </w:p>
    <w:p w:rsidR="00E33F01" w:rsidRDefault="00A37AEB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24F3F7" wp14:editId="21B018F5">
            <wp:simplePos x="0" y="0"/>
            <wp:positionH relativeFrom="column">
              <wp:posOffset>-253365</wp:posOffset>
            </wp:positionH>
            <wp:positionV relativeFrom="paragraph">
              <wp:posOffset>11430</wp:posOffset>
            </wp:positionV>
            <wp:extent cx="3171825" cy="265747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01" w:rsidRDefault="006869FF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5FEDE0" wp14:editId="283555AF">
            <wp:simplePos x="0" y="0"/>
            <wp:positionH relativeFrom="column">
              <wp:posOffset>3604260</wp:posOffset>
            </wp:positionH>
            <wp:positionV relativeFrom="paragraph">
              <wp:posOffset>118745</wp:posOffset>
            </wp:positionV>
            <wp:extent cx="2657475" cy="23431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01" w:rsidRDefault="00725AF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7B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6C6AA" wp14:editId="1DD067D0">
                <wp:simplePos x="0" y="0"/>
                <wp:positionH relativeFrom="column">
                  <wp:posOffset>2404110</wp:posOffset>
                </wp:positionH>
                <wp:positionV relativeFrom="paragraph">
                  <wp:posOffset>114935</wp:posOffset>
                </wp:positionV>
                <wp:extent cx="1495425" cy="5238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B1" w:rsidRPr="00725AF1" w:rsidRDefault="006869FF" w:rsidP="006869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5A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 них меняли место постоянного 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9.3pt;margin-top:9.05pt;width:117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" stroked="f">
                <v:textbox>
                  <w:txbxContent>
                    <w:p w:rsidR="006927B1" w:rsidRPr="00725AF1" w:rsidRDefault="006869FF" w:rsidP="006869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5A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 них меняли место постоянного жительства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6927B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C2D91" wp14:editId="437CE63F">
                <wp:simplePos x="0" y="0"/>
                <wp:positionH relativeFrom="column">
                  <wp:posOffset>2518410</wp:posOffset>
                </wp:positionH>
                <wp:positionV relativeFrom="paragraph">
                  <wp:posOffset>-4445</wp:posOffset>
                </wp:positionV>
                <wp:extent cx="1377950" cy="219075"/>
                <wp:effectExtent l="0" t="19050" r="3175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190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98.3pt;margin-top:-.35pt;width:10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" adj="19883" filled="f" strokecolor="#f39" strokeweight="2pt"/>
            </w:pict>
          </mc:Fallback>
        </mc:AlternateContent>
      </w: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01" w:rsidRDefault="00E33F0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1D7" w:rsidRDefault="007E11D7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1D7" w:rsidRDefault="007E11D7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1D7" w:rsidRPr="00DB0EE0" w:rsidRDefault="007E11D7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7B1" w:rsidRDefault="006927B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7B1" w:rsidRDefault="006927B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7B1" w:rsidRDefault="006927B1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24F" w:rsidRPr="00DB0EE0" w:rsidRDefault="005430AA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>Не</w:t>
      </w:r>
      <w:r w:rsidR="00C6416E" w:rsidRPr="00DB0EE0">
        <w:rPr>
          <w:rFonts w:ascii="Times New Roman" w:hAnsi="Times New Roman"/>
          <w:sz w:val="24"/>
          <w:szCs w:val="24"/>
        </w:rPr>
        <w:t>равномерность социально-экономического развития не только регионов страны, но и муниципальных образований и населенных пунктов в грани</w:t>
      </w:r>
      <w:r w:rsidR="007E2EBE" w:rsidRPr="00DB0EE0">
        <w:rPr>
          <w:rFonts w:ascii="Times New Roman" w:hAnsi="Times New Roman"/>
          <w:sz w:val="24"/>
          <w:szCs w:val="24"/>
        </w:rPr>
        <w:t>цах края</w:t>
      </w:r>
      <w:r w:rsidR="00C6416E" w:rsidRPr="00DB0EE0">
        <w:rPr>
          <w:rFonts w:ascii="Times New Roman" w:hAnsi="Times New Roman"/>
          <w:sz w:val="24"/>
          <w:szCs w:val="24"/>
        </w:rPr>
        <w:t>, вынужда</w:t>
      </w:r>
      <w:r w:rsidR="00A074E0" w:rsidRPr="00DB0EE0">
        <w:rPr>
          <w:rFonts w:ascii="Times New Roman" w:hAnsi="Times New Roman"/>
          <w:sz w:val="24"/>
          <w:szCs w:val="24"/>
        </w:rPr>
        <w:t>е</w:t>
      </w:r>
      <w:r w:rsidR="00C6416E" w:rsidRPr="00DB0EE0">
        <w:rPr>
          <w:rFonts w:ascii="Times New Roman" w:hAnsi="Times New Roman"/>
          <w:sz w:val="24"/>
          <w:szCs w:val="24"/>
        </w:rPr>
        <w:t xml:space="preserve">т население менять место жительства. </w:t>
      </w:r>
      <w:r w:rsidR="007E2EBE" w:rsidRPr="00DB0EE0">
        <w:rPr>
          <w:rFonts w:ascii="Times New Roman" w:hAnsi="Times New Roman"/>
          <w:sz w:val="24"/>
          <w:szCs w:val="24"/>
        </w:rPr>
        <w:t xml:space="preserve">Так по результатам ВПН-2010 </w:t>
      </w:r>
      <w:r w:rsidR="00573167" w:rsidRPr="00DB0EE0">
        <w:rPr>
          <w:rFonts w:ascii="Times New Roman" w:hAnsi="Times New Roman"/>
          <w:sz w:val="24"/>
          <w:szCs w:val="24"/>
        </w:rPr>
        <w:t>из 1000 человек</w:t>
      </w:r>
      <w:r w:rsidR="00A074E0" w:rsidRPr="00DB0EE0">
        <w:rPr>
          <w:rFonts w:ascii="Times New Roman" w:hAnsi="Times New Roman"/>
          <w:sz w:val="24"/>
          <w:szCs w:val="24"/>
        </w:rPr>
        <w:t>, проживающих в частных домохозяйствах,</w:t>
      </w:r>
      <w:r w:rsidR="00573167" w:rsidRPr="00DB0EE0">
        <w:rPr>
          <w:rFonts w:ascii="Times New Roman" w:hAnsi="Times New Roman"/>
          <w:sz w:val="24"/>
          <w:szCs w:val="24"/>
        </w:rPr>
        <w:t xml:space="preserve"> с рождения </w:t>
      </w:r>
      <w:r w:rsidR="00A074E0" w:rsidRPr="00DB0EE0">
        <w:rPr>
          <w:rFonts w:ascii="Times New Roman" w:hAnsi="Times New Roman"/>
          <w:sz w:val="24"/>
          <w:szCs w:val="24"/>
        </w:rPr>
        <w:t xml:space="preserve">не меняли адрес </w:t>
      </w:r>
      <w:r w:rsidR="007E2EBE" w:rsidRPr="00DB0EE0">
        <w:rPr>
          <w:rFonts w:ascii="Times New Roman" w:hAnsi="Times New Roman"/>
          <w:sz w:val="24"/>
          <w:szCs w:val="24"/>
        </w:rPr>
        <w:t>только</w:t>
      </w:r>
      <w:r w:rsidR="00597C29" w:rsidRPr="00DB0EE0">
        <w:rPr>
          <w:rFonts w:ascii="Times New Roman" w:hAnsi="Times New Roman"/>
          <w:sz w:val="24"/>
          <w:szCs w:val="24"/>
        </w:rPr>
        <w:t xml:space="preserve"> </w:t>
      </w:r>
      <w:r w:rsidR="00332077" w:rsidRPr="00DB0EE0">
        <w:rPr>
          <w:rFonts w:ascii="Times New Roman" w:hAnsi="Times New Roman"/>
          <w:sz w:val="24"/>
          <w:szCs w:val="24"/>
        </w:rPr>
        <w:t>468</w:t>
      </w:r>
      <w:r w:rsidR="00573167" w:rsidRPr="00DB0EE0">
        <w:rPr>
          <w:rFonts w:ascii="Times New Roman" w:hAnsi="Times New Roman"/>
          <w:sz w:val="24"/>
          <w:szCs w:val="24"/>
        </w:rPr>
        <w:t xml:space="preserve"> человек.</w:t>
      </w:r>
    </w:p>
    <w:p w:rsidR="008177B7" w:rsidRPr="00DB0EE0" w:rsidRDefault="00C660C9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>Благоприятные условия жизни, хорошо развитая инфраструктура, широкие возможност</w:t>
      </w:r>
      <w:r w:rsidR="00DB0EE0">
        <w:rPr>
          <w:rFonts w:ascii="Times New Roman" w:hAnsi="Times New Roman"/>
          <w:sz w:val="24"/>
          <w:szCs w:val="24"/>
        </w:rPr>
        <w:t>и</w:t>
      </w:r>
      <w:r w:rsidRPr="00DB0EE0">
        <w:rPr>
          <w:rFonts w:ascii="Times New Roman" w:hAnsi="Times New Roman"/>
          <w:sz w:val="24"/>
          <w:szCs w:val="24"/>
        </w:rPr>
        <w:t xml:space="preserve"> культурного и активного отдыха делают жизнь в городских центрах более </w:t>
      </w:r>
      <w:r w:rsidR="00DC7E6B" w:rsidRPr="00DB0EE0">
        <w:rPr>
          <w:rFonts w:ascii="Times New Roman" w:hAnsi="Times New Roman"/>
          <w:sz w:val="24"/>
          <w:szCs w:val="24"/>
        </w:rPr>
        <w:t>привлекательной,</w:t>
      </w:r>
      <w:r w:rsidRPr="00DB0EE0">
        <w:rPr>
          <w:rFonts w:ascii="Times New Roman" w:hAnsi="Times New Roman"/>
          <w:sz w:val="24"/>
          <w:szCs w:val="24"/>
        </w:rPr>
        <w:t xml:space="preserve"> нежели в сельской местности. У</w:t>
      </w:r>
      <w:r w:rsidR="008177B7" w:rsidRPr="00DB0EE0">
        <w:rPr>
          <w:rFonts w:ascii="Times New Roman" w:hAnsi="Times New Roman"/>
          <w:sz w:val="24"/>
          <w:szCs w:val="24"/>
        </w:rPr>
        <w:t xml:space="preserve">роженцами городских </w:t>
      </w:r>
      <w:r w:rsidR="007E11D7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332077" w:rsidRPr="00DB0EE0">
        <w:rPr>
          <w:rFonts w:ascii="Times New Roman" w:hAnsi="Times New Roman"/>
          <w:sz w:val="24"/>
          <w:szCs w:val="24"/>
        </w:rPr>
        <w:t>являются 47% жителей и столько же</w:t>
      </w:r>
      <w:r w:rsidR="006610B5" w:rsidRPr="00DB0EE0">
        <w:rPr>
          <w:rFonts w:ascii="Times New Roman" w:hAnsi="Times New Roman"/>
          <w:sz w:val="24"/>
          <w:szCs w:val="24"/>
        </w:rPr>
        <w:t xml:space="preserve"> горожан приехали на место постоянного жит</w:t>
      </w:r>
      <w:r w:rsidR="0021017F" w:rsidRPr="00DB0EE0">
        <w:rPr>
          <w:rFonts w:ascii="Times New Roman" w:hAnsi="Times New Roman"/>
          <w:sz w:val="24"/>
          <w:szCs w:val="24"/>
        </w:rPr>
        <w:t>е</w:t>
      </w:r>
      <w:r w:rsidR="006610B5" w:rsidRPr="00DB0EE0">
        <w:rPr>
          <w:rFonts w:ascii="Times New Roman" w:hAnsi="Times New Roman"/>
          <w:sz w:val="24"/>
          <w:szCs w:val="24"/>
        </w:rPr>
        <w:t xml:space="preserve">льства после рождения, </w:t>
      </w:r>
      <w:r w:rsidR="008177B7" w:rsidRPr="00DB0EE0">
        <w:rPr>
          <w:rFonts w:ascii="Times New Roman" w:hAnsi="Times New Roman"/>
          <w:sz w:val="24"/>
          <w:szCs w:val="24"/>
        </w:rPr>
        <w:t>в сельских насел</w:t>
      </w:r>
      <w:r w:rsidR="007D103F" w:rsidRPr="00DB0EE0">
        <w:rPr>
          <w:rFonts w:ascii="Times New Roman" w:hAnsi="Times New Roman"/>
          <w:sz w:val="24"/>
          <w:szCs w:val="24"/>
        </w:rPr>
        <w:t>е</w:t>
      </w:r>
      <w:r w:rsidR="00332077" w:rsidRPr="00DB0EE0">
        <w:rPr>
          <w:rFonts w:ascii="Times New Roman" w:hAnsi="Times New Roman"/>
          <w:sz w:val="24"/>
          <w:szCs w:val="24"/>
        </w:rPr>
        <w:t>нных пунктах только 34</w:t>
      </w:r>
      <w:r w:rsidR="007E11D7">
        <w:rPr>
          <w:rFonts w:ascii="Times New Roman" w:hAnsi="Times New Roman"/>
          <w:sz w:val="24"/>
          <w:szCs w:val="24"/>
        </w:rPr>
        <w:t>,2</w:t>
      </w:r>
      <w:r w:rsidR="008177B7" w:rsidRPr="00DB0EE0">
        <w:rPr>
          <w:rFonts w:ascii="Times New Roman" w:hAnsi="Times New Roman"/>
          <w:sz w:val="24"/>
          <w:szCs w:val="24"/>
        </w:rPr>
        <w:t>%</w:t>
      </w:r>
      <w:r w:rsidR="00332077" w:rsidRPr="00DB0EE0">
        <w:rPr>
          <w:rFonts w:ascii="Times New Roman" w:hAnsi="Times New Roman"/>
          <w:sz w:val="24"/>
          <w:szCs w:val="24"/>
        </w:rPr>
        <w:t xml:space="preserve"> коренных жителей, 6</w:t>
      </w:r>
      <w:r w:rsidR="007E11D7">
        <w:rPr>
          <w:rFonts w:ascii="Times New Roman" w:hAnsi="Times New Roman"/>
          <w:sz w:val="24"/>
          <w:szCs w:val="24"/>
        </w:rPr>
        <w:t>4,7</w:t>
      </w:r>
      <w:r w:rsidR="006610B5" w:rsidRPr="00DB0EE0">
        <w:rPr>
          <w:rFonts w:ascii="Times New Roman" w:hAnsi="Times New Roman"/>
          <w:sz w:val="24"/>
          <w:szCs w:val="24"/>
        </w:rPr>
        <w:t>% – приезжих</w:t>
      </w:r>
      <w:r w:rsidR="008177B7" w:rsidRPr="00DB0EE0">
        <w:rPr>
          <w:rFonts w:ascii="Times New Roman" w:hAnsi="Times New Roman"/>
          <w:sz w:val="24"/>
          <w:szCs w:val="24"/>
        </w:rPr>
        <w:t>.</w:t>
      </w:r>
      <w:r w:rsidRPr="00DB0EE0">
        <w:rPr>
          <w:rFonts w:ascii="Times New Roman" w:hAnsi="Times New Roman"/>
          <w:sz w:val="24"/>
          <w:szCs w:val="24"/>
        </w:rPr>
        <w:t xml:space="preserve"> Таким образом, городское население менее подвержено переездам и не стремится </w:t>
      </w:r>
      <w:r w:rsidR="00DC7E6B" w:rsidRPr="00DB0EE0">
        <w:rPr>
          <w:rFonts w:ascii="Times New Roman" w:hAnsi="Times New Roman"/>
          <w:sz w:val="24"/>
          <w:szCs w:val="24"/>
        </w:rPr>
        <w:t xml:space="preserve">к </w:t>
      </w:r>
      <w:r w:rsidRPr="00DB0EE0">
        <w:rPr>
          <w:rFonts w:ascii="Times New Roman" w:hAnsi="Times New Roman"/>
          <w:sz w:val="24"/>
          <w:szCs w:val="24"/>
        </w:rPr>
        <w:t>смен</w:t>
      </w:r>
      <w:r w:rsidR="00DC7E6B" w:rsidRPr="00DB0EE0">
        <w:rPr>
          <w:rFonts w:ascii="Times New Roman" w:hAnsi="Times New Roman"/>
          <w:sz w:val="24"/>
          <w:szCs w:val="24"/>
        </w:rPr>
        <w:t>е</w:t>
      </w:r>
      <w:r w:rsidRPr="00DB0EE0">
        <w:rPr>
          <w:rFonts w:ascii="Times New Roman" w:hAnsi="Times New Roman"/>
          <w:sz w:val="24"/>
          <w:szCs w:val="24"/>
        </w:rPr>
        <w:t xml:space="preserve"> мест</w:t>
      </w:r>
      <w:r w:rsidR="00DC7E6B" w:rsidRPr="00DB0EE0">
        <w:rPr>
          <w:rFonts w:ascii="Times New Roman" w:hAnsi="Times New Roman"/>
          <w:sz w:val="24"/>
          <w:szCs w:val="24"/>
        </w:rPr>
        <w:t>а</w:t>
      </w:r>
      <w:r w:rsidRPr="00DB0EE0">
        <w:rPr>
          <w:rFonts w:ascii="Times New Roman" w:hAnsi="Times New Roman"/>
          <w:sz w:val="24"/>
          <w:szCs w:val="24"/>
        </w:rPr>
        <w:t xml:space="preserve"> жительства.</w:t>
      </w:r>
    </w:p>
    <w:p w:rsidR="00793ABC" w:rsidRPr="00DB0EE0" w:rsidRDefault="00F02783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>Результаты Всероссийской переписи населения 2010 года показали, что н</w:t>
      </w:r>
      <w:r w:rsidR="005C2330" w:rsidRPr="00DB0EE0">
        <w:rPr>
          <w:rFonts w:ascii="Times New Roman" w:hAnsi="Times New Roman"/>
          <w:sz w:val="24"/>
          <w:szCs w:val="24"/>
        </w:rPr>
        <w:t xml:space="preserve">аиболее «подвижной» категорией населения являются мужчины. </w:t>
      </w:r>
      <w:r w:rsidRPr="00DB0EE0">
        <w:rPr>
          <w:rFonts w:ascii="Times New Roman" w:hAnsi="Times New Roman"/>
          <w:sz w:val="24"/>
          <w:szCs w:val="24"/>
        </w:rPr>
        <w:t>Они чаще, чем женщины, стремятся сменить место жительства, чтобы получить новую работу, профессию, улучшить сво</w:t>
      </w:r>
      <w:r w:rsidR="00E86DBA" w:rsidRPr="00DB0EE0">
        <w:rPr>
          <w:rFonts w:ascii="Times New Roman" w:hAnsi="Times New Roman"/>
          <w:sz w:val="24"/>
          <w:szCs w:val="24"/>
        </w:rPr>
        <w:t>е</w:t>
      </w:r>
      <w:r w:rsidRPr="00DB0EE0">
        <w:rPr>
          <w:rFonts w:ascii="Times New Roman" w:hAnsi="Times New Roman"/>
          <w:sz w:val="24"/>
          <w:szCs w:val="24"/>
        </w:rPr>
        <w:t xml:space="preserve"> материальное положение. Так с</w:t>
      </w:r>
      <w:r w:rsidR="005C2330" w:rsidRPr="00DB0EE0">
        <w:rPr>
          <w:rFonts w:ascii="Times New Roman" w:hAnsi="Times New Roman"/>
          <w:sz w:val="24"/>
          <w:szCs w:val="24"/>
        </w:rPr>
        <w:t xml:space="preserve"> момента рождения не меняли место житель</w:t>
      </w:r>
      <w:r w:rsidR="00196377" w:rsidRPr="00DB0EE0">
        <w:rPr>
          <w:rFonts w:ascii="Times New Roman" w:hAnsi="Times New Roman"/>
          <w:sz w:val="24"/>
          <w:szCs w:val="24"/>
        </w:rPr>
        <w:t>ства 4</w:t>
      </w:r>
      <w:r w:rsidR="00E33F01">
        <w:rPr>
          <w:rFonts w:ascii="Times New Roman" w:hAnsi="Times New Roman"/>
          <w:sz w:val="24"/>
          <w:szCs w:val="24"/>
        </w:rPr>
        <w:t>0,9</w:t>
      </w:r>
      <w:r w:rsidR="00196377" w:rsidRPr="00DB0EE0">
        <w:rPr>
          <w:rFonts w:ascii="Times New Roman" w:hAnsi="Times New Roman"/>
          <w:sz w:val="24"/>
          <w:szCs w:val="24"/>
        </w:rPr>
        <w:t>% мужчин и 4</w:t>
      </w:r>
      <w:r w:rsidR="00E33F01">
        <w:rPr>
          <w:rFonts w:ascii="Times New Roman" w:hAnsi="Times New Roman"/>
          <w:sz w:val="24"/>
          <w:szCs w:val="24"/>
        </w:rPr>
        <w:t>6,8</w:t>
      </w:r>
      <w:r w:rsidRPr="00DB0EE0">
        <w:rPr>
          <w:rFonts w:ascii="Times New Roman" w:hAnsi="Times New Roman"/>
          <w:sz w:val="24"/>
          <w:szCs w:val="24"/>
        </w:rPr>
        <w:t>% женщин.</w:t>
      </w:r>
    </w:p>
    <w:p w:rsidR="00F02783" w:rsidRPr="00DB0EE0" w:rsidRDefault="00196377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>По данным переписи 8</w:t>
      </w:r>
      <w:r w:rsidR="00E33F01">
        <w:rPr>
          <w:rFonts w:ascii="Times New Roman" w:hAnsi="Times New Roman"/>
          <w:sz w:val="24"/>
          <w:szCs w:val="24"/>
        </w:rPr>
        <w:t>3,8</w:t>
      </w:r>
      <w:r w:rsidR="002244B9" w:rsidRPr="00DB0EE0">
        <w:rPr>
          <w:rFonts w:ascii="Times New Roman" w:hAnsi="Times New Roman"/>
          <w:sz w:val="24"/>
          <w:szCs w:val="24"/>
        </w:rPr>
        <w:t>% населения моложе трудоспособного возраста с рождения проживают в насел</w:t>
      </w:r>
      <w:r w:rsidR="007D103F" w:rsidRPr="00DB0EE0">
        <w:rPr>
          <w:rFonts w:ascii="Times New Roman" w:hAnsi="Times New Roman"/>
          <w:sz w:val="24"/>
          <w:szCs w:val="24"/>
        </w:rPr>
        <w:t>е</w:t>
      </w:r>
      <w:r w:rsidR="002244B9" w:rsidRPr="00DB0EE0">
        <w:rPr>
          <w:rFonts w:ascii="Times New Roman" w:hAnsi="Times New Roman"/>
          <w:sz w:val="24"/>
          <w:szCs w:val="24"/>
        </w:rPr>
        <w:t>нном пункте, являющимся ме</w:t>
      </w:r>
      <w:r w:rsidR="00F02783" w:rsidRPr="00DB0EE0">
        <w:rPr>
          <w:rFonts w:ascii="Times New Roman" w:hAnsi="Times New Roman"/>
          <w:sz w:val="24"/>
          <w:szCs w:val="24"/>
        </w:rPr>
        <w:t>стом их постоянного жительства.</w:t>
      </w:r>
      <w:r w:rsidR="00593BDA" w:rsidRPr="00DB0EE0">
        <w:rPr>
          <w:rFonts w:ascii="Times New Roman" w:hAnsi="Times New Roman"/>
          <w:sz w:val="24"/>
          <w:szCs w:val="24"/>
        </w:rPr>
        <w:t xml:space="preserve"> Это связано с тем, что в детстве и юности наш адрес меняется редко, смена его, как правило, связана с переездом всей семьей.</w:t>
      </w:r>
    </w:p>
    <w:p w:rsidR="00F02783" w:rsidRPr="00DB0EE0" w:rsidRDefault="002244B9" w:rsidP="00684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E0">
        <w:rPr>
          <w:rFonts w:ascii="Times New Roman" w:hAnsi="Times New Roman"/>
          <w:sz w:val="24"/>
          <w:szCs w:val="24"/>
        </w:rPr>
        <w:t xml:space="preserve">Население в трудоспособном возрасте наиболее мобильно и не боится </w:t>
      </w:r>
      <w:r w:rsidR="00C45D24" w:rsidRPr="00DB0EE0">
        <w:rPr>
          <w:rFonts w:ascii="Times New Roman" w:hAnsi="Times New Roman"/>
          <w:sz w:val="24"/>
          <w:szCs w:val="24"/>
        </w:rPr>
        <w:t>переездов</w:t>
      </w:r>
      <w:r w:rsidR="00196377" w:rsidRPr="00DB0EE0">
        <w:rPr>
          <w:rFonts w:ascii="Times New Roman" w:hAnsi="Times New Roman"/>
          <w:sz w:val="24"/>
          <w:szCs w:val="24"/>
        </w:rPr>
        <w:t xml:space="preserve"> – только </w:t>
      </w:r>
      <w:r w:rsidR="00E33F01">
        <w:rPr>
          <w:rFonts w:ascii="Times New Roman" w:hAnsi="Times New Roman"/>
          <w:sz w:val="24"/>
          <w:szCs w:val="24"/>
        </w:rPr>
        <w:t>39,9</w:t>
      </w:r>
      <w:r w:rsidRPr="00DB0EE0">
        <w:rPr>
          <w:rFonts w:ascii="Times New Roman" w:hAnsi="Times New Roman"/>
          <w:sz w:val="24"/>
          <w:szCs w:val="24"/>
        </w:rPr>
        <w:t>% населения в трудоспособном возрасте являются коренными жителями насел</w:t>
      </w:r>
      <w:r w:rsidR="007D103F" w:rsidRPr="00DB0EE0">
        <w:rPr>
          <w:rFonts w:ascii="Times New Roman" w:hAnsi="Times New Roman"/>
          <w:sz w:val="24"/>
          <w:szCs w:val="24"/>
        </w:rPr>
        <w:t>е</w:t>
      </w:r>
      <w:r w:rsidRPr="00DB0EE0">
        <w:rPr>
          <w:rFonts w:ascii="Times New Roman" w:hAnsi="Times New Roman"/>
          <w:sz w:val="24"/>
          <w:szCs w:val="24"/>
        </w:rPr>
        <w:t xml:space="preserve">нных </w:t>
      </w:r>
      <w:r w:rsidR="00C45D24" w:rsidRPr="00DB0EE0">
        <w:rPr>
          <w:rFonts w:ascii="Times New Roman" w:hAnsi="Times New Roman"/>
          <w:sz w:val="24"/>
          <w:szCs w:val="24"/>
        </w:rPr>
        <w:t>пунктов постоянного проживания.</w:t>
      </w:r>
    </w:p>
    <w:sectPr w:rsidR="00F02783" w:rsidRPr="00DB0EE0" w:rsidSect="005C47B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27F"/>
    <w:multiLevelType w:val="hybridMultilevel"/>
    <w:tmpl w:val="F95CE376"/>
    <w:lvl w:ilvl="0" w:tplc="70C0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75757"/>
    <w:multiLevelType w:val="hybridMultilevel"/>
    <w:tmpl w:val="A76EC494"/>
    <w:lvl w:ilvl="0" w:tplc="C40A4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60"/>
    <w:rsid w:val="000413B4"/>
    <w:rsid w:val="000466F8"/>
    <w:rsid w:val="00055401"/>
    <w:rsid w:val="00056360"/>
    <w:rsid w:val="0007251A"/>
    <w:rsid w:val="000833F2"/>
    <w:rsid w:val="0008464D"/>
    <w:rsid w:val="000B64BB"/>
    <w:rsid w:val="000C0AB0"/>
    <w:rsid w:val="000D3704"/>
    <w:rsid w:val="000E2502"/>
    <w:rsid w:val="001309E9"/>
    <w:rsid w:val="001576D4"/>
    <w:rsid w:val="001612E6"/>
    <w:rsid w:val="0017359B"/>
    <w:rsid w:val="00173D99"/>
    <w:rsid w:val="00196377"/>
    <w:rsid w:val="001B66DD"/>
    <w:rsid w:val="001C4212"/>
    <w:rsid w:val="001E01B5"/>
    <w:rsid w:val="001E1258"/>
    <w:rsid w:val="0021017F"/>
    <w:rsid w:val="00210E2C"/>
    <w:rsid w:val="00222FCC"/>
    <w:rsid w:val="002244B9"/>
    <w:rsid w:val="00284400"/>
    <w:rsid w:val="002F7D52"/>
    <w:rsid w:val="00304737"/>
    <w:rsid w:val="00313F3E"/>
    <w:rsid w:val="00331ED3"/>
    <w:rsid w:val="00332077"/>
    <w:rsid w:val="00354CAE"/>
    <w:rsid w:val="0037324B"/>
    <w:rsid w:val="00374AE3"/>
    <w:rsid w:val="003957FC"/>
    <w:rsid w:val="00404FF2"/>
    <w:rsid w:val="00405AA2"/>
    <w:rsid w:val="00407381"/>
    <w:rsid w:val="004475EA"/>
    <w:rsid w:val="00450836"/>
    <w:rsid w:val="0046790A"/>
    <w:rsid w:val="0048133C"/>
    <w:rsid w:val="00496E56"/>
    <w:rsid w:val="004D0457"/>
    <w:rsid w:val="004E3FD4"/>
    <w:rsid w:val="004E3FFB"/>
    <w:rsid w:val="004F3080"/>
    <w:rsid w:val="00535796"/>
    <w:rsid w:val="005430AA"/>
    <w:rsid w:val="00543C27"/>
    <w:rsid w:val="00566B88"/>
    <w:rsid w:val="00573167"/>
    <w:rsid w:val="00575A53"/>
    <w:rsid w:val="0057763B"/>
    <w:rsid w:val="00584498"/>
    <w:rsid w:val="00585DA7"/>
    <w:rsid w:val="00593BDA"/>
    <w:rsid w:val="00597C29"/>
    <w:rsid w:val="005B5491"/>
    <w:rsid w:val="005B5A49"/>
    <w:rsid w:val="005C2330"/>
    <w:rsid w:val="005C47BE"/>
    <w:rsid w:val="005C7E95"/>
    <w:rsid w:val="005D26E2"/>
    <w:rsid w:val="005D3117"/>
    <w:rsid w:val="0063603E"/>
    <w:rsid w:val="0063618A"/>
    <w:rsid w:val="00641FD3"/>
    <w:rsid w:val="00656D92"/>
    <w:rsid w:val="006610B5"/>
    <w:rsid w:val="006667EA"/>
    <w:rsid w:val="006841FA"/>
    <w:rsid w:val="00684681"/>
    <w:rsid w:val="006869FF"/>
    <w:rsid w:val="00692591"/>
    <w:rsid w:val="006927B1"/>
    <w:rsid w:val="006A1075"/>
    <w:rsid w:val="006B4424"/>
    <w:rsid w:val="006C12AC"/>
    <w:rsid w:val="006E2E9B"/>
    <w:rsid w:val="006E664F"/>
    <w:rsid w:val="007056DC"/>
    <w:rsid w:val="007239E3"/>
    <w:rsid w:val="00725AF1"/>
    <w:rsid w:val="00730861"/>
    <w:rsid w:val="00772168"/>
    <w:rsid w:val="00782E0A"/>
    <w:rsid w:val="0079392F"/>
    <w:rsid w:val="00793ABC"/>
    <w:rsid w:val="00796FDA"/>
    <w:rsid w:val="007B0693"/>
    <w:rsid w:val="007B088B"/>
    <w:rsid w:val="007D103F"/>
    <w:rsid w:val="007D7293"/>
    <w:rsid w:val="007E09D8"/>
    <w:rsid w:val="007E11D7"/>
    <w:rsid w:val="007E2EBE"/>
    <w:rsid w:val="00803A71"/>
    <w:rsid w:val="008177B7"/>
    <w:rsid w:val="00823660"/>
    <w:rsid w:val="00846800"/>
    <w:rsid w:val="008535EC"/>
    <w:rsid w:val="00884B6E"/>
    <w:rsid w:val="00891DE6"/>
    <w:rsid w:val="00895B09"/>
    <w:rsid w:val="008A3038"/>
    <w:rsid w:val="008C70C7"/>
    <w:rsid w:val="008F04E7"/>
    <w:rsid w:val="008F1502"/>
    <w:rsid w:val="00907FC8"/>
    <w:rsid w:val="00917D63"/>
    <w:rsid w:val="0096531B"/>
    <w:rsid w:val="00983D0C"/>
    <w:rsid w:val="00994849"/>
    <w:rsid w:val="009B3BFB"/>
    <w:rsid w:val="009B67F7"/>
    <w:rsid w:val="009C05B9"/>
    <w:rsid w:val="009C6618"/>
    <w:rsid w:val="009D4221"/>
    <w:rsid w:val="00A02441"/>
    <w:rsid w:val="00A074E0"/>
    <w:rsid w:val="00A31241"/>
    <w:rsid w:val="00A37AEB"/>
    <w:rsid w:val="00A46C18"/>
    <w:rsid w:val="00A4753F"/>
    <w:rsid w:val="00A52AE0"/>
    <w:rsid w:val="00A54CDB"/>
    <w:rsid w:val="00A67654"/>
    <w:rsid w:val="00A83834"/>
    <w:rsid w:val="00B011BB"/>
    <w:rsid w:val="00B16E11"/>
    <w:rsid w:val="00B1761E"/>
    <w:rsid w:val="00B3463B"/>
    <w:rsid w:val="00B43FC0"/>
    <w:rsid w:val="00BB225B"/>
    <w:rsid w:val="00C002A8"/>
    <w:rsid w:val="00C32C99"/>
    <w:rsid w:val="00C45D24"/>
    <w:rsid w:val="00C6416E"/>
    <w:rsid w:val="00C65C08"/>
    <w:rsid w:val="00C660C9"/>
    <w:rsid w:val="00C77B99"/>
    <w:rsid w:val="00C952DE"/>
    <w:rsid w:val="00CA174F"/>
    <w:rsid w:val="00CC6045"/>
    <w:rsid w:val="00D05866"/>
    <w:rsid w:val="00D33A1C"/>
    <w:rsid w:val="00D639B1"/>
    <w:rsid w:val="00D708C3"/>
    <w:rsid w:val="00D85048"/>
    <w:rsid w:val="00D87B82"/>
    <w:rsid w:val="00DA6A40"/>
    <w:rsid w:val="00DB0EE0"/>
    <w:rsid w:val="00DC64F0"/>
    <w:rsid w:val="00DC7E6B"/>
    <w:rsid w:val="00DD400C"/>
    <w:rsid w:val="00DF70DB"/>
    <w:rsid w:val="00DF7C97"/>
    <w:rsid w:val="00E141D0"/>
    <w:rsid w:val="00E33F01"/>
    <w:rsid w:val="00E61CAD"/>
    <w:rsid w:val="00E62CFA"/>
    <w:rsid w:val="00E72727"/>
    <w:rsid w:val="00E86DBA"/>
    <w:rsid w:val="00EA258C"/>
    <w:rsid w:val="00EA5A95"/>
    <w:rsid w:val="00EC0814"/>
    <w:rsid w:val="00EC1D89"/>
    <w:rsid w:val="00ED5210"/>
    <w:rsid w:val="00EE205A"/>
    <w:rsid w:val="00EF109E"/>
    <w:rsid w:val="00F02783"/>
    <w:rsid w:val="00F17E08"/>
    <w:rsid w:val="00F3724F"/>
    <w:rsid w:val="00F51738"/>
    <w:rsid w:val="00F63C50"/>
    <w:rsid w:val="00F77812"/>
    <w:rsid w:val="00F87667"/>
    <w:rsid w:val="00F94EBA"/>
    <w:rsid w:val="00F967B0"/>
    <w:rsid w:val="00FC4F9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20867324016924"/>
          <c:y val="8.088121242909152E-2"/>
          <c:w val="0.55150284585213361"/>
          <c:h val="0.7218199011888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contrasting" dir="t">
                <a:rot lat="0" lon="0" rev="7800000"/>
              </a:lightRig>
            </a:scene3d>
            <a:sp3d prstMaterial="plastic">
              <a:bevelT w="101600" h="50800" prst="angle"/>
              <a:bevelB w="38100"/>
            </a:sp3d>
          </c:spPr>
          <c:dPt>
            <c:idx val="0"/>
            <c:bubble3D val="0"/>
            <c:spPr>
              <a:solidFill>
                <a:srgbClr val="1F63D1"/>
              </a:solidFill>
              <a:scene3d>
                <a:camera prst="orthographicFront"/>
                <a:lightRig rig="contrasting" dir="t">
                  <a:rot lat="0" lon="0" rev="7800000"/>
                </a:lightRig>
              </a:scene3d>
              <a:sp3d prstMaterial="plastic">
                <a:bevelT w="101600" h="50800" prst="angle"/>
                <a:bevelB w="38100"/>
              </a:sp3d>
            </c:spPr>
          </c:dPt>
          <c:dPt>
            <c:idx val="1"/>
            <c:bubble3D val="0"/>
            <c:spPr>
              <a:solidFill>
                <a:srgbClr val="FF3399"/>
              </a:solidFill>
              <a:scene3d>
                <a:camera prst="orthographicFront"/>
                <a:lightRig rig="contrasting" dir="t">
                  <a:rot lat="0" lon="0" rev="7800000"/>
                </a:lightRig>
              </a:scene3d>
              <a:sp3d>
                <a:bevelT w="139700" h="139700"/>
              </a:sp3d>
            </c:spPr>
          </c:dPt>
          <c:dPt>
            <c:idx val="2"/>
            <c:bubble3D val="0"/>
            <c:spPr>
              <a:solidFill>
                <a:srgbClr val="00FF99"/>
              </a:solidFill>
              <a:scene3d>
                <a:camera prst="orthographicFront"/>
                <a:lightRig rig="contrasting" dir="t">
                  <a:rot lat="0" lon="0" rev="7800000"/>
                </a:lightRig>
              </a:scene3d>
              <a:sp3d prstMaterial="plastic">
                <a:bevelT w="101600" h="50800" prst="angle"/>
                <a:bevelB w="38100"/>
              </a:sp3d>
            </c:spPr>
          </c:dPt>
          <c:dLbls>
            <c:dLbl>
              <c:idx val="1"/>
              <c:layout>
                <c:manualLayout>
                  <c:x val="-0.13613613613613615"/>
                  <c:y val="-0.250986029972059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рождения</c:v>
                </c:pt>
                <c:pt idx="1">
                  <c:v>не с рождения</c:v>
                </c:pt>
                <c:pt idx="2">
                  <c:v>не указавшие продолжительность проживания в месте постоянного жительства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44.1</c:v>
                </c:pt>
                <c:pt idx="1">
                  <c:v>51.3</c:v>
                </c:pt>
                <c:pt idx="2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91"/>
      </c:pieChart>
    </c:plotArea>
    <c:legend>
      <c:legendPos val="b"/>
      <c:layout>
        <c:manualLayout>
          <c:xMode val="edge"/>
          <c:yMode val="edge"/>
          <c:x val="7.2143009150883161E-2"/>
          <c:y val="0.68742909693833032"/>
          <c:w val="0.82768563839429976"/>
          <c:h val="0.3125707673637569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59727749085127"/>
          <c:y val="1.620382818001409E-2"/>
          <c:w val="0.57756253586581252"/>
          <c:h val="0.655040437018543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99FF"/>
              </a:solidFill>
            </c:spPr>
          </c:dPt>
          <c:dPt>
            <c:idx val="1"/>
            <c:bubble3D val="0"/>
            <c:spPr>
              <a:solidFill>
                <a:srgbClr val="FF9933"/>
              </a:solidFill>
            </c:spPr>
          </c:dPt>
          <c:dPt>
            <c:idx val="2"/>
            <c:bubble3D val="0"/>
            <c:spPr>
              <a:solidFill>
                <a:srgbClr val="009900"/>
              </a:solidFill>
            </c:spPr>
          </c:dPt>
          <c:dPt>
            <c:idx val="3"/>
            <c:bubble3D val="0"/>
            <c:spPr>
              <a:solidFill>
                <a:srgbClr val="9966FF"/>
              </a:solidFill>
            </c:spPr>
          </c:dPt>
          <c:dLbls>
            <c:dLbl>
              <c:idx val="3"/>
              <c:layout>
                <c:manualLayout>
                  <c:x val="6.2126642771804061E-2"/>
                  <c:y val="0.173441734417344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2003-2010 гг.</c:v>
                </c:pt>
                <c:pt idx="1">
                  <c:v>в 1996-2002 гг.</c:v>
                </c:pt>
                <c:pt idx="2">
                  <c:v>в 1992-1995 гг.</c:v>
                </c:pt>
                <c:pt idx="3">
                  <c:v>в 1991 г. и ранее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22.6</c:v>
                </c:pt>
                <c:pt idx="1">
                  <c:v>14.1</c:v>
                </c:pt>
                <c:pt idx="2">
                  <c:v>7.8</c:v>
                </c:pt>
                <c:pt idx="3">
                  <c:v>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E211-754D-4279-A91F-CE569942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kurskstat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usprom_03</dc:creator>
  <cp:keywords/>
  <dc:description/>
  <cp:lastModifiedBy>nas</cp:lastModifiedBy>
  <cp:revision>6</cp:revision>
  <cp:lastPrinted>2013-02-05T08:05:00Z</cp:lastPrinted>
  <dcterms:created xsi:type="dcterms:W3CDTF">2013-06-11T03:24:00Z</dcterms:created>
  <dcterms:modified xsi:type="dcterms:W3CDTF">2013-06-11T04:28:00Z</dcterms:modified>
</cp:coreProperties>
</file>